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D19" w:rsidRDefault="000F5D19" w:rsidP="000F5D19">
      <w:pPr>
        <w:spacing w:after="0" w:line="480" w:lineRule="auto"/>
        <w:ind w:firstLine="720"/>
        <w:contextualSpacing/>
        <w:rPr>
          <w:rFonts w:ascii="Times New Roman" w:hAnsi="Times New Roman" w:cs="Times New Roman"/>
          <w:sz w:val="24"/>
          <w:szCs w:val="24"/>
          <w:lang w:val="en-GB"/>
        </w:rPr>
      </w:pP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D46A21" w:rsidRDefault="00D46A21" w:rsidP="000F5D19">
      <w:pPr>
        <w:spacing w:after="0" w:line="480" w:lineRule="auto"/>
        <w:ind w:firstLine="720"/>
        <w:contextualSpacing/>
        <w:jc w:val="center"/>
        <w:rPr>
          <w:rFonts w:ascii="Times New Roman" w:hAnsi="Times New Roman" w:cs="Times New Roman"/>
          <w:sz w:val="24"/>
          <w:szCs w:val="24"/>
          <w:lang w:val="en-GB"/>
        </w:rPr>
      </w:pPr>
    </w:p>
    <w:p w:rsidR="00D46A21" w:rsidRDefault="00D46A21" w:rsidP="000F5D19">
      <w:pPr>
        <w:spacing w:after="0" w:line="480" w:lineRule="auto"/>
        <w:ind w:firstLine="720"/>
        <w:contextualSpacing/>
        <w:jc w:val="center"/>
        <w:rPr>
          <w:rFonts w:ascii="Times New Roman" w:hAnsi="Times New Roman" w:cs="Times New Roman"/>
          <w:sz w:val="24"/>
          <w:szCs w:val="24"/>
          <w:lang w:val="en-GB"/>
        </w:rPr>
      </w:pPr>
    </w:p>
    <w:p w:rsidR="00D46A21" w:rsidRDefault="00D46A21" w:rsidP="000F5D19">
      <w:pPr>
        <w:spacing w:after="0" w:line="480" w:lineRule="auto"/>
        <w:ind w:firstLine="720"/>
        <w:contextualSpacing/>
        <w:jc w:val="center"/>
        <w:rPr>
          <w:rFonts w:ascii="Times New Roman" w:hAnsi="Times New Roman" w:cs="Times New Roman"/>
          <w:sz w:val="24"/>
          <w:szCs w:val="24"/>
          <w:lang w:val="en-GB"/>
        </w:rPr>
      </w:pPr>
    </w:p>
    <w:p w:rsidR="00D46A21" w:rsidRDefault="00D46A21" w:rsidP="000F5D19">
      <w:pPr>
        <w:spacing w:after="0" w:line="480" w:lineRule="auto"/>
        <w:ind w:firstLine="720"/>
        <w:contextualSpacing/>
        <w:jc w:val="center"/>
        <w:rPr>
          <w:rFonts w:ascii="Times New Roman" w:hAnsi="Times New Roman" w:cs="Times New Roman"/>
          <w:sz w:val="24"/>
          <w:szCs w:val="24"/>
          <w:lang w:val="en-GB"/>
        </w:rPr>
      </w:pPr>
    </w:p>
    <w:p w:rsidR="000F5D19" w:rsidRDefault="000F5D19" w:rsidP="000F5D19">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COVID-19 Periodic Report</w:t>
      </w:r>
    </w:p>
    <w:p w:rsidR="000F5D19" w:rsidRDefault="000F5D19" w:rsidP="000F5D19">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Affiliation</w:t>
      </w:r>
    </w:p>
    <w:p w:rsidR="000F5D19" w:rsidRDefault="000F5D19" w:rsidP="000F5D19">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0F5D19" w:rsidRDefault="000F5D19" w:rsidP="000F5D19">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Student</w:t>
      </w:r>
    </w:p>
    <w:p w:rsidR="000F5D19" w:rsidRDefault="000F5D19" w:rsidP="000F5D19">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0F5D19" w:rsidRDefault="000F5D19" w:rsidP="000F5D19">
      <w:pPr>
        <w:spacing w:after="0" w:line="480" w:lineRule="auto"/>
        <w:ind w:firstLine="720"/>
        <w:contextualSpacing/>
        <w:rPr>
          <w:rFonts w:ascii="Times New Roman" w:hAnsi="Times New Roman" w:cs="Times New Roman"/>
          <w:sz w:val="24"/>
          <w:szCs w:val="24"/>
          <w:lang w:val="en-GB"/>
        </w:rPr>
      </w:pPr>
    </w:p>
    <w:p w:rsidR="00D46A21" w:rsidRDefault="00D46A21" w:rsidP="00D46A21">
      <w:pPr>
        <w:spacing w:after="0" w:line="480" w:lineRule="auto"/>
        <w:contextualSpacing/>
        <w:rPr>
          <w:rFonts w:ascii="Times New Roman" w:hAnsi="Times New Roman" w:cs="Times New Roman"/>
          <w:sz w:val="24"/>
          <w:szCs w:val="24"/>
          <w:lang w:val="en-GB"/>
        </w:rPr>
      </w:pPr>
    </w:p>
    <w:p w:rsidR="00D46A21" w:rsidRDefault="00D46A21" w:rsidP="00D46A21">
      <w:pPr>
        <w:spacing w:after="0" w:line="480" w:lineRule="auto"/>
        <w:contextualSpacing/>
        <w:rPr>
          <w:rFonts w:ascii="Times New Roman" w:hAnsi="Times New Roman" w:cs="Times New Roman"/>
          <w:sz w:val="24"/>
          <w:szCs w:val="24"/>
          <w:lang w:val="en-GB"/>
        </w:rPr>
      </w:pPr>
    </w:p>
    <w:p w:rsidR="00D46A21" w:rsidRDefault="00D46A21" w:rsidP="00D46A21">
      <w:pPr>
        <w:spacing w:after="0" w:line="480" w:lineRule="auto"/>
        <w:contextualSpacing/>
        <w:rPr>
          <w:rFonts w:ascii="Times New Roman" w:hAnsi="Times New Roman" w:cs="Times New Roman"/>
          <w:sz w:val="24"/>
          <w:szCs w:val="24"/>
          <w:lang w:val="en-GB"/>
        </w:rPr>
      </w:pPr>
    </w:p>
    <w:p w:rsidR="00D46A21" w:rsidRDefault="00D46A21" w:rsidP="00D46A21">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COVID-19 Periodic Report</w:t>
      </w:r>
    </w:p>
    <w:p w:rsidR="000F5D19" w:rsidRDefault="00DE718E" w:rsidP="000F5D19">
      <w:pPr>
        <w:spacing w:after="0"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Kuwait had already confirmed more than 45,000 COVID-19 cases by the start of July this year. At the end of November of COVID-19 infection had risen to 142,635 with 880 confirmed deaths. The country registered more than 137,000 recovery cases by the end of November but the number of new cases has significantly reduced</w:t>
      </w:r>
      <w:r w:rsidR="000F5D19">
        <w:rPr>
          <w:rFonts w:ascii="Times New Roman" w:hAnsi="Times New Roman" w:cs="Times New Roman"/>
          <w:sz w:val="24"/>
          <w:szCs w:val="24"/>
          <w:lang w:val="en-GB"/>
        </w:rPr>
        <w:t xml:space="preserve"> (</w:t>
      </w:r>
      <w:r w:rsidR="000F5D19" w:rsidRPr="00DE718E">
        <w:rPr>
          <w:rFonts w:ascii="Times New Roman" w:hAnsi="Times New Roman" w:cs="Times New Roman"/>
          <w:color w:val="000000"/>
          <w:sz w:val="24"/>
          <w:szCs w:val="24"/>
        </w:rPr>
        <w:t>Roser,</w:t>
      </w:r>
      <w:r w:rsidR="000F5D19">
        <w:rPr>
          <w:rFonts w:ascii="Times New Roman" w:hAnsi="Times New Roman" w:cs="Times New Roman"/>
          <w:color w:val="000000"/>
          <w:sz w:val="24"/>
          <w:szCs w:val="24"/>
        </w:rPr>
        <w:t xml:space="preserve"> et al., 2020)</w:t>
      </w:r>
      <w:r w:rsidRPr="00DE718E">
        <w:rPr>
          <w:rFonts w:ascii="Times New Roman" w:hAnsi="Times New Roman" w:cs="Times New Roman"/>
          <w:sz w:val="24"/>
          <w:szCs w:val="24"/>
          <w:lang w:val="en-GB"/>
        </w:rPr>
        <w:t>. The government restrictions to reduce the transmission of Coronavirus were partially lifted by July to allow people to return to normal life. For the last days of November, Kuwait has registered not more than three death cases and less than 500 new cases every day showing significant progress towards managing the pandemic. This is due to the government policies and public cooperation to reduce transmission of the virus.</w:t>
      </w:r>
    </w:p>
    <w:tbl>
      <w:tblPr>
        <w:tblStyle w:val="TableGrid"/>
        <w:tblW w:w="10001" w:type="dxa"/>
        <w:tblLook w:val="04A0" w:firstRow="1" w:lastRow="0" w:firstColumn="1" w:lastColumn="0" w:noHBand="0" w:noVBand="1"/>
      </w:tblPr>
      <w:tblGrid>
        <w:gridCol w:w="3591"/>
        <w:gridCol w:w="1936"/>
        <w:gridCol w:w="2245"/>
        <w:gridCol w:w="2229"/>
      </w:tblGrid>
      <w:tr w:rsidR="00DE718E" w:rsidRPr="00DE718E" w:rsidTr="00D46A21">
        <w:trPr>
          <w:trHeight w:val="161"/>
        </w:trPr>
        <w:tc>
          <w:tcPr>
            <w:tcW w:w="3591"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Month</w:t>
            </w:r>
          </w:p>
        </w:tc>
        <w:tc>
          <w:tcPr>
            <w:tcW w:w="1936"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 xml:space="preserve">July </w:t>
            </w:r>
          </w:p>
        </w:tc>
        <w:tc>
          <w:tcPr>
            <w:tcW w:w="2245"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 xml:space="preserve">September </w:t>
            </w:r>
          </w:p>
        </w:tc>
        <w:tc>
          <w:tcPr>
            <w:tcW w:w="2229"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 xml:space="preserve">November </w:t>
            </w:r>
          </w:p>
        </w:tc>
      </w:tr>
      <w:tr w:rsidR="00DE718E" w:rsidRPr="00DE718E" w:rsidTr="00D46A21">
        <w:trPr>
          <w:trHeight w:val="153"/>
        </w:trPr>
        <w:tc>
          <w:tcPr>
            <w:tcW w:w="3591"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Total number of cases</w:t>
            </w:r>
          </w:p>
        </w:tc>
        <w:tc>
          <w:tcPr>
            <w:tcW w:w="1936"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66,957</w:t>
            </w:r>
          </w:p>
        </w:tc>
        <w:tc>
          <w:tcPr>
            <w:tcW w:w="2245"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105,182</w:t>
            </w:r>
          </w:p>
        </w:tc>
        <w:tc>
          <w:tcPr>
            <w:tcW w:w="2229"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142,635</w:t>
            </w:r>
          </w:p>
        </w:tc>
      </w:tr>
      <w:tr w:rsidR="00DE718E" w:rsidRPr="00DE718E" w:rsidTr="00D46A21">
        <w:trPr>
          <w:trHeight w:val="161"/>
        </w:trPr>
        <w:tc>
          <w:tcPr>
            <w:tcW w:w="3591"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Total recoveries</w:t>
            </w:r>
          </w:p>
        </w:tc>
        <w:tc>
          <w:tcPr>
            <w:tcW w:w="1936"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57,932</w:t>
            </w:r>
          </w:p>
        </w:tc>
        <w:tc>
          <w:tcPr>
            <w:tcW w:w="2245"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96,688</w:t>
            </w:r>
          </w:p>
        </w:tc>
        <w:tc>
          <w:tcPr>
            <w:tcW w:w="2229"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137,071</w:t>
            </w:r>
          </w:p>
        </w:tc>
      </w:tr>
      <w:tr w:rsidR="00DE718E" w:rsidRPr="00DE718E" w:rsidTr="00D46A21">
        <w:trPr>
          <w:trHeight w:val="153"/>
        </w:trPr>
        <w:tc>
          <w:tcPr>
            <w:tcW w:w="3591"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New cases (per month)</w:t>
            </w:r>
          </w:p>
        </w:tc>
        <w:tc>
          <w:tcPr>
            <w:tcW w:w="1936"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20,762</w:t>
            </w:r>
          </w:p>
        </w:tc>
        <w:tc>
          <w:tcPr>
            <w:tcW w:w="2245"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20,073</w:t>
            </w:r>
          </w:p>
        </w:tc>
        <w:tc>
          <w:tcPr>
            <w:tcW w:w="2229" w:type="dxa"/>
          </w:tcPr>
          <w:p w:rsidR="00DE718E" w:rsidRPr="00DE718E" w:rsidRDefault="00DE718E" w:rsidP="0030264B">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16,709</w:t>
            </w:r>
          </w:p>
        </w:tc>
      </w:tr>
      <w:tr w:rsidR="00DE718E" w:rsidRPr="00DE718E" w:rsidTr="00D46A21">
        <w:trPr>
          <w:trHeight w:val="413"/>
        </w:trPr>
        <w:tc>
          <w:tcPr>
            <w:tcW w:w="3591" w:type="dxa"/>
          </w:tcPr>
          <w:p w:rsidR="00DE718E" w:rsidRPr="00DE718E" w:rsidRDefault="00DE718E" w:rsidP="00DE718E">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New deaths (per month)</w:t>
            </w:r>
          </w:p>
        </w:tc>
        <w:tc>
          <w:tcPr>
            <w:tcW w:w="1936" w:type="dxa"/>
          </w:tcPr>
          <w:p w:rsidR="00DE718E" w:rsidRPr="00DE718E" w:rsidRDefault="00DE718E" w:rsidP="00DE718E">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93</w:t>
            </w:r>
          </w:p>
        </w:tc>
        <w:tc>
          <w:tcPr>
            <w:tcW w:w="2245" w:type="dxa"/>
          </w:tcPr>
          <w:p w:rsidR="00DE718E" w:rsidRPr="00DE718E" w:rsidRDefault="00DE718E" w:rsidP="00DE718E">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79</w:t>
            </w:r>
          </w:p>
        </w:tc>
        <w:tc>
          <w:tcPr>
            <w:tcW w:w="2229" w:type="dxa"/>
          </w:tcPr>
          <w:p w:rsidR="00DE718E" w:rsidRPr="00DE718E" w:rsidRDefault="00DE718E" w:rsidP="00DE718E">
            <w:pPr>
              <w:spacing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101</w:t>
            </w:r>
          </w:p>
        </w:tc>
      </w:tr>
    </w:tbl>
    <w:p w:rsidR="00DE718E" w:rsidRPr="00DE718E" w:rsidRDefault="00DE718E" w:rsidP="00DE718E">
      <w:pPr>
        <w:spacing w:after="0"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Figure 1: </w:t>
      </w:r>
      <w:r w:rsidR="000F5D19">
        <w:rPr>
          <w:rFonts w:ascii="Times New Roman" w:hAnsi="Times New Roman" w:cs="Times New Roman"/>
          <w:sz w:val="24"/>
          <w:szCs w:val="24"/>
          <w:lang w:val="en-GB"/>
        </w:rPr>
        <w:t xml:space="preserve">Kuwait </w:t>
      </w:r>
      <w:r>
        <w:rPr>
          <w:rFonts w:ascii="Times New Roman" w:hAnsi="Times New Roman" w:cs="Times New Roman"/>
          <w:sz w:val="24"/>
          <w:szCs w:val="24"/>
          <w:lang w:val="en-GB"/>
        </w:rPr>
        <w:t>COVID-19 statistics for the months of July, September and, November.</w:t>
      </w:r>
      <w:bookmarkStart w:id="0" w:name="_GoBack"/>
      <w:bookmarkEnd w:id="0"/>
    </w:p>
    <w:p w:rsidR="00DE718E" w:rsidRPr="00DE718E" w:rsidRDefault="00DE718E" w:rsidP="00DE718E">
      <w:pPr>
        <w:spacing w:after="0"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 xml:space="preserve">At the beginning of July, the ministry of health announced ease of Coronavirus in the country due to the restrictions that had been put in place since March. Kuwait authorities changed the nationwide night curfew from 20:00 – 05:00 to 21:00 – 03:00 on the 28th of July. However, security, health, and construction workers were exempted from the curfew. Other cities such as Al Farwaniyah that were under 24-hour curfew was lifted from July 26th. </w:t>
      </w:r>
    </w:p>
    <w:p w:rsidR="004F1297" w:rsidRPr="00DE718E" w:rsidRDefault="00DE718E" w:rsidP="000F5D19">
      <w:pPr>
        <w:spacing w:after="0" w:line="480" w:lineRule="auto"/>
        <w:ind w:firstLine="720"/>
        <w:contextualSpacing/>
        <w:rPr>
          <w:rFonts w:ascii="Times New Roman" w:hAnsi="Times New Roman" w:cs="Times New Roman"/>
          <w:sz w:val="24"/>
          <w:szCs w:val="24"/>
          <w:lang w:val="en-GB"/>
        </w:rPr>
      </w:pPr>
      <w:r w:rsidRPr="00DE718E">
        <w:rPr>
          <w:rFonts w:ascii="Times New Roman" w:hAnsi="Times New Roman" w:cs="Times New Roman"/>
          <w:sz w:val="24"/>
          <w:szCs w:val="24"/>
          <w:lang w:val="en-GB"/>
        </w:rPr>
        <w:t xml:space="preserve">The government suspended all commercial flights to and from Kuwait on August 1st. A three-phased plan to resume commercial flights on August 1st was set by authorities. Until then, </w:t>
      </w:r>
      <w:r w:rsidRPr="00DE718E">
        <w:rPr>
          <w:rFonts w:ascii="Times New Roman" w:hAnsi="Times New Roman" w:cs="Times New Roman"/>
          <w:sz w:val="24"/>
          <w:szCs w:val="24"/>
          <w:lang w:val="en-GB"/>
        </w:rPr>
        <w:lastRenderedPageBreak/>
        <w:t>all international arrivals were limited to cargo planes and Kuwait nationals only. The Directorate General of Civil Aviation was commissioned to oversee the first stage that operated at 30%, the second stage at 60%, and the</w:t>
      </w:r>
      <w:r w:rsidR="000F5D19">
        <w:rPr>
          <w:rFonts w:ascii="Times New Roman" w:hAnsi="Times New Roman" w:cs="Times New Roman"/>
          <w:sz w:val="24"/>
          <w:szCs w:val="24"/>
          <w:lang w:val="en-GB"/>
        </w:rPr>
        <w:t xml:space="preserve"> final at full capacity of 100% </w:t>
      </w:r>
      <w:r w:rsidR="000F5D19" w:rsidRPr="000F5D19">
        <w:rPr>
          <w:rFonts w:ascii="Times New Roman" w:hAnsi="Times New Roman" w:cs="Times New Roman"/>
          <w:i/>
          <w:sz w:val="24"/>
          <w:szCs w:val="24"/>
          <w:lang w:val="en-GB"/>
        </w:rPr>
        <w:t>(</w:t>
      </w:r>
      <w:r w:rsidR="000F5D19" w:rsidRPr="000F5D19">
        <w:rPr>
          <w:rStyle w:val="Emphasis"/>
          <w:rFonts w:ascii="Times New Roman" w:hAnsi="Times New Roman" w:cs="Times New Roman"/>
          <w:i w:val="0"/>
          <w:color w:val="0E101A"/>
          <w:sz w:val="24"/>
          <w:szCs w:val="24"/>
        </w:rPr>
        <w:t>Kuwait: Authorities maintain COVID-19 restrictions December 1 /update 28</w:t>
      </w:r>
      <w:r w:rsidR="000F5D19" w:rsidRPr="000F5D19">
        <w:rPr>
          <w:rFonts w:ascii="Times New Roman" w:hAnsi="Times New Roman" w:cs="Times New Roman"/>
          <w:i/>
          <w:color w:val="0E101A"/>
          <w:sz w:val="24"/>
          <w:szCs w:val="24"/>
        </w:rPr>
        <w:t>,</w:t>
      </w:r>
      <w:r w:rsidR="000F5D19" w:rsidRPr="000F5D19">
        <w:rPr>
          <w:rFonts w:ascii="Times New Roman" w:hAnsi="Times New Roman" w:cs="Times New Roman"/>
          <w:color w:val="0E101A"/>
          <w:sz w:val="24"/>
          <w:szCs w:val="24"/>
        </w:rPr>
        <w:t xml:space="preserve"> n.d</w:t>
      </w:r>
      <w:r w:rsidR="000F5D19">
        <w:rPr>
          <w:rFonts w:ascii="Times New Roman" w:hAnsi="Times New Roman" w:cs="Times New Roman"/>
          <w:color w:val="0E101A"/>
          <w:sz w:val="24"/>
          <w:szCs w:val="24"/>
        </w:rPr>
        <w:t>.</w:t>
      </w:r>
      <w:r w:rsidR="000F5D19" w:rsidRPr="000F5D19">
        <w:rPr>
          <w:rFonts w:ascii="Times New Roman" w:hAnsi="Times New Roman" w:cs="Times New Roman"/>
          <w:color w:val="0E101A"/>
          <w:sz w:val="24"/>
          <w:szCs w:val="24"/>
        </w:rPr>
        <w:t>)</w:t>
      </w:r>
      <w:r w:rsidRPr="000F5D19">
        <w:rPr>
          <w:rFonts w:ascii="Times New Roman" w:hAnsi="Times New Roman" w:cs="Times New Roman"/>
          <w:sz w:val="24"/>
          <w:szCs w:val="24"/>
          <w:lang w:val="en-GB"/>
        </w:rPr>
        <w:t xml:space="preserve"> </w:t>
      </w:r>
      <w:r w:rsidRPr="00DE718E">
        <w:rPr>
          <w:rFonts w:ascii="Times New Roman" w:hAnsi="Times New Roman" w:cs="Times New Roman"/>
          <w:sz w:val="24"/>
          <w:szCs w:val="24"/>
          <w:lang w:val="en-GB"/>
        </w:rPr>
        <w:t>Currently, the first phase is ongoing, with the second phase of reopening scheduled for February 2021. All travelers arriving in Kuwait are expected to adhere to a 14-day quarantine and must test negative for COVID-19.</w:t>
      </w:r>
    </w:p>
    <w:p w:rsidR="00DE718E" w:rsidRPr="00DE718E" w:rsidRDefault="00DE718E" w:rsidP="00DE718E">
      <w:pPr>
        <w:pStyle w:val="NormalWeb"/>
        <w:spacing w:before="0" w:beforeAutospacing="0" w:after="0" w:afterAutospacing="0" w:line="480" w:lineRule="auto"/>
        <w:ind w:firstLine="720"/>
        <w:contextualSpacing/>
        <w:rPr>
          <w:color w:val="0E101A"/>
        </w:rPr>
      </w:pPr>
      <w:r w:rsidRPr="00DE718E">
        <w:rPr>
          <w:color w:val="0E101A"/>
        </w:rPr>
        <w:t>The private and public workplaces are operating at 50% capacity. Protective masks should be worn in public with a few recreational facilities reopened under the precaution of the ministry of health. However, large gatherings such as funerals and weddings remain prohibited. Violators of these restrictions are subject to three months of imprisonment or fines. The seaports have been prohibited from sending or receiving foreign goods from Iran, Hong Kong, and China. With the schools and universities still closed, plans to start virtue learning have been put in place.</w:t>
      </w:r>
    </w:p>
    <w:p w:rsidR="00DE718E" w:rsidRPr="00DE718E" w:rsidRDefault="00DE718E" w:rsidP="00DE718E">
      <w:pPr>
        <w:pStyle w:val="NormalWeb"/>
        <w:spacing w:before="0" w:beforeAutospacing="0" w:after="0" w:afterAutospacing="0" w:line="480" w:lineRule="auto"/>
        <w:ind w:firstLine="720"/>
        <w:contextualSpacing/>
        <w:rPr>
          <w:color w:val="0E101A"/>
        </w:rPr>
      </w:pPr>
      <w:r w:rsidRPr="00DE718E">
        <w:rPr>
          <w:color w:val="0E101A"/>
        </w:rPr>
        <w:t>The public in Kuwait has been cooperative in the fight against COVID-19 by abiding by the ministry of health safety measures. Masks are worn by every citizen and social distance is maintained. Individuals only go to market centers to buy basic needs and avoid any unnecessary gatherings. The patients have been providing required information on close contacts to the health professionals to help in contact tracing. However, recreational facilities and shops operate strictly under national health and safety measures to reduce the spread of COVID-19. </w:t>
      </w:r>
    </w:p>
    <w:p w:rsidR="000F5D19" w:rsidRPr="00D46A21" w:rsidRDefault="00DE718E" w:rsidP="00D46A21">
      <w:pPr>
        <w:pStyle w:val="NormalWeb"/>
        <w:spacing w:before="0" w:beforeAutospacing="0" w:after="0" w:afterAutospacing="0" w:line="480" w:lineRule="auto"/>
        <w:ind w:firstLine="720"/>
        <w:contextualSpacing/>
        <w:rPr>
          <w:color w:val="0E101A"/>
        </w:rPr>
      </w:pPr>
      <w:r w:rsidRPr="00DE718E">
        <w:rPr>
          <w:color w:val="0E101A"/>
        </w:rPr>
        <w:t>The government of Kuwait has announced strategic plans to help individuals recover from the devastating impact of COVID-19. The Ministry of Health in Kuwait announced that the country would receive the BTN162 COVID-19 vaccine by the end of 2020, and usage will be subject to approval by Kuwait’s health authorities</w:t>
      </w:r>
      <w:r w:rsidR="00D46A21">
        <w:rPr>
          <w:color w:val="0E101A"/>
        </w:rPr>
        <w:t xml:space="preserve">. </w:t>
      </w:r>
      <w:r w:rsidRPr="00DE718E">
        <w:rPr>
          <w:color w:val="0E101A"/>
        </w:rPr>
        <w:t>Due to the vaccine reports, the government is considering full reopening of the economy and Airport in late 2020 or early 2021.</w:t>
      </w:r>
    </w:p>
    <w:p w:rsidR="00DE718E" w:rsidRPr="000F5D19" w:rsidRDefault="00DE718E" w:rsidP="000F5D19">
      <w:pPr>
        <w:pStyle w:val="NormalWeb"/>
        <w:spacing w:before="0" w:beforeAutospacing="0" w:after="0" w:afterAutospacing="0" w:line="480" w:lineRule="auto"/>
        <w:ind w:left="720" w:hanging="720"/>
        <w:contextualSpacing/>
        <w:jc w:val="center"/>
        <w:rPr>
          <w:b/>
          <w:color w:val="0E101A"/>
        </w:rPr>
      </w:pPr>
      <w:r w:rsidRPr="000F5D19">
        <w:rPr>
          <w:b/>
          <w:color w:val="0E101A"/>
        </w:rPr>
        <w:lastRenderedPageBreak/>
        <w:t>References</w:t>
      </w:r>
    </w:p>
    <w:p w:rsidR="00DE718E" w:rsidRDefault="00DE718E" w:rsidP="00DE718E">
      <w:pPr>
        <w:pStyle w:val="NormalWeb"/>
        <w:spacing w:before="0" w:beforeAutospacing="0" w:after="0" w:afterAutospacing="0" w:line="480" w:lineRule="auto"/>
        <w:ind w:left="720" w:hanging="720"/>
        <w:contextualSpacing/>
        <w:rPr>
          <w:color w:val="0E101A"/>
        </w:rPr>
      </w:pPr>
      <w:r>
        <w:rPr>
          <w:rStyle w:val="Emphasis"/>
          <w:color w:val="0E101A"/>
        </w:rPr>
        <w:t>COVID-19 Alert: Kuwait Introduces New Curfew Hours Beginning July 28 Amid Easing Restrictions | WorldAware</w:t>
      </w:r>
      <w:r>
        <w:rPr>
          <w:color w:val="0E101A"/>
        </w:rPr>
        <w:t>. (2020, July 24). Www.Worldaware.com. </w:t>
      </w:r>
      <w:hyperlink r:id="rId6" w:tgtFrame="_blank" w:history="1">
        <w:r>
          <w:rPr>
            <w:rStyle w:val="Hyperlink"/>
            <w:color w:val="4A6EE0"/>
          </w:rPr>
          <w:t>https://www.worldaware.com/covid-19-alert-kuwait-introduces-new-curfew-hours-beginning-july-28-amid-easing-restrictions</w:t>
        </w:r>
      </w:hyperlink>
    </w:p>
    <w:p w:rsidR="00DE718E" w:rsidRDefault="00DE718E" w:rsidP="00DE718E">
      <w:pPr>
        <w:pStyle w:val="NormalWeb"/>
        <w:spacing w:before="0" w:beforeAutospacing="0" w:after="0" w:afterAutospacing="0" w:line="480" w:lineRule="auto"/>
        <w:ind w:left="720" w:hanging="720"/>
        <w:contextualSpacing/>
        <w:rPr>
          <w:color w:val="0E101A"/>
        </w:rPr>
      </w:pPr>
      <w:r>
        <w:rPr>
          <w:rStyle w:val="Emphasis"/>
          <w:color w:val="0E101A"/>
        </w:rPr>
        <w:t>Kuwait: Authorities maintain COVID-19 restrictions December 1 /update 28</w:t>
      </w:r>
      <w:r>
        <w:rPr>
          <w:color w:val="0E101A"/>
        </w:rPr>
        <w:t>. (n.d.). GardaWorld. </w:t>
      </w:r>
      <w:hyperlink r:id="rId7" w:tgtFrame="_blank" w:history="1">
        <w:r>
          <w:rPr>
            <w:rStyle w:val="Hyperlink"/>
            <w:color w:val="4A6EE0"/>
          </w:rPr>
          <w:t>https://www.garda.com/crisis24/news-alerts/405571/kuwait-authorities-maintain-covid-19-restrictions-december-1-update-28</w:t>
        </w:r>
      </w:hyperlink>
    </w:p>
    <w:p w:rsidR="00DE718E" w:rsidRDefault="00DE718E" w:rsidP="00DE718E">
      <w:pPr>
        <w:pStyle w:val="NormalWeb"/>
        <w:spacing w:before="0" w:beforeAutospacing="0" w:after="0" w:afterAutospacing="0" w:line="480" w:lineRule="atLeast"/>
        <w:ind w:left="720" w:hanging="720"/>
        <w:rPr>
          <w:color w:val="000000"/>
        </w:rPr>
      </w:pPr>
      <w:r w:rsidRPr="00DE718E">
        <w:rPr>
          <w:color w:val="000000"/>
        </w:rPr>
        <w:t>Roser, M., Ritchie, H., Ortiz-Ospina, E., &amp; Hasell, J. (2020). Coronavirus Pandemic (COVID-19). </w:t>
      </w:r>
      <w:r w:rsidRPr="00DE718E">
        <w:rPr>
          <w:i/>
          <w:iCs/>
          <w:color w:val="000000"/>
        </w:rPr>
        <w:t>Our World in Data</w:t>
      </w:r>
      <w:r w:rsidRPr="00DE718E">
        <w:rPr>
          <w:color w:val="000000"/>
        </w:rPr>
        <w:t>.</w:t>
      </w:r>
    </w:p>
    <w:p w:rsidR="008B2C41" w:rsidRPr="00DE718E" w:rsidRDefault="00DE718E" w:rsidP="00DE718E">
      <w:pPr>
        <w:pStyle w:val="NormalWeb"/>
        <w:spacing w:before="0" w:beforeAutospacing="0" w:after="0" w:afterAutospacing="0" w:line="480" w:lineRule="atLeast"/>
        <w:ind w:left="720" w:hanging="720"/>
        <w:rPr>
          <w:color w:val="000000"/>
        </w:rPr>
      </w:pPr>
      <w:hyperlink r:id="rId8" w:history="1">
        <w:r w:rsidRPr="00DE718E">
          <w:rPr>
            <w:rStyle w:val="Hyperlink"/>
          </w:rPr>
          <w:t>https://ourworldindata.org/coronavirus/country/kuwait?country=~KWT</w:t>
        </w:r>
      </w:hyperlink>
    </w:p>
    <w:p w:rsidR="00DE718E" w:rsidRPr="008B2C41" w:rsidRDefault="00DE718E" w:rsidP="00DE718E">
      <w:pPr>
        <w:pStyle w:val="NormalWeb"/>
        <w:spacing w:before="0" w:beforeAutospacing="0" w:after="0" w:afterAutospacing="0" w:line="480" w:lineRule="atLeast"/>
        <w:ind w:left="720" w:hanging="720"/>
        <w:rPr>
          <w:rFonts w:ascii="Calibri" w:hAnsi="Calibri" w:cs="Calibri"/>
          <w:color w:val="000000"/>
          <w:sz w:val="27"/>
          <w:szCs w:val="27"/>
        </w:rPr>
      </w:pPr>
    </w:p>
    <w:sectPr w:rsidR="00DE718E" w:rsidRPr="008B2C41" w:rsidSect="00D46A21">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AD8" w:rsidRDefault="00FF2AD8" w:rsidP="00D46A21">
      <w:pPr>
        <w:spacing w:after="0" w:line="240" w:lineRule="auto"/>
      </w:pPr>
      <w:r>
        <w:separator/>
      </w:r>
    </w:p>
  </w:endnote>
  <w:endnote w:type="continuationSeparator" w:id="0">
    <w:p w:rsidR="00FF2AD8" w:rsidRDefault="00FF2AD8" w:rsidP="00D46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AD8" w:rsidRDefault="00FF2AD8" w:rsidP="00D46A21">
      <w:pPr>
        <w:spacing w:after="0" w:line="240" w:lineRule="auto"/>
      </w:pPr>
      <w:r>
        <w:separator/>
      </w:r>
    </w:p>
  </w:footnote>
  <w:footnote w:type="continuationSeparator" w:id="0">
    <w:p w:rsidR="00FF2AD8" w:rsidRDefault="00FF2AD8" w:rsidP="00D46A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1729097"/>
      <w:docPartObj>
        <w:docPartGallery w:val="Page Numbers (Top of Page)"/>
        <w:docPartUnique/>
      </w:docPartObj>
    </w:sdtPr>
    <w:sdtEndPr>
      <w:rPr>
        <w:rFonts w:ascii="Times New Roman" w:hAnsi="Times New Roman" w:cs="Times New Roman"/>
        <w:noProof/>
        <w:sz w:val="24"/>
        <w:szCs w:val="24"/>
      </w:rPr>
    </w:sdtEndPr>
    <w:sdtContent>
      <w:p w:rsidR="00D46A21" w:rsidRPr="00D46A21" w:rsidRDefault="00D46A21">
        <w:pPr>
          <w:pStyle w:val="Header"/>
          <w:jc w:val="right"/>
          <w:rPr>
            <w:rFonts w:ascii="Times New Roman" w:hAnsi="Times New Roman" w:cs="Times New Roman"/>
            <w:sz w:val="24"/>
            <w:szCs w:val="24"/>
          </w:rPr>
        </w:pPr>
        <w:r w:rsidRPr="00D46A21">
          <w:rPr>
            <w:rFonts w:ascii="Times New Roman" w:hAnsi="Times New Roman" w:cs="Times New Roman"/>
            <w:sz w:val="24"/>
            <w:szCs w:val="24"/>
          </w:rPr>
          <w:fldChar w:fldCharType="begin"/>
        </w:r>
        <w:r w:rsidRPr="00D46A21">
          <w:rPr>
            <w:rFonts w:ascii="Times New Roman" w:hAnsi="Times New Roman" w:cs="Times New Roman"/>
            <w:sz w:val="24"/>
            <w:szCs w:val="24"/>
          </w:rPr>
          <w:instrText xml:space="preserve"> PAGE   \* MERGEFORMAT </w:instrText>
        </w:r>
        <w:r w:rsidRPr="00D46A21">
          <w:rPr>
            <w:rFonts w:ascii="Times New Roman" w:hAnsi="Times New Roman" w:cs="Times New Roman"/>
            <w:sz w:val="24"/>
            <w:szCs w:val="24"/>
          </w:rPr>
          <w:fldChar w:fldCharType="separate"/>
        </w:r>
        <w:r>
          <w:rPr>
            <w:rFonts w:ascii="Times New Roman" w:hAnsi="Times New Roman" w:cs="Times New Roman"/>
            <w:noProof/>
            <w:sz w:val="24"/>
            <w:szCs w:val="24"/>
          </w:rPr>
          <w:t>4</w:t>
        </w:r>
        <w:r w:rsidRPr="00D46A21">
          <w:rPr>
            <w:rFonts w:ascii="Times New Roman" w:hAnsi="Times New Roman" w:cs="Times New Roman"/>
            <w:noProof/>
            <w:sz w:val="24"/>
            <w:szCs w:val="24"/>
          </w:rPr>
          <w:fldChar w:fldCharType="end"/>
        </w:r>
      </w:p>
    </w:sdtContent>
  </w:sdt>
  <w:p w:rsidR="00D46A21" w:rsidRPr="00D46A21" w:rsidRDefault="00D46A21">
    <w:pPr>
      <w:pStyle w:val="Header"/>
      <w:rPr>
        <w:rFonts w:ascii="Times New Roman" w:hAnsi="Times New Roman" w:cs="Times New Roman"/>
        <w:sz w:val="24"/>
        <w:szCs w:val="24"/>
      </w:rPr>
    </w:pPr>
    <w:r w:rsidRPr="00D46A21">
      <w:rPr>
        <w:rFonts w:ascii="Times New Roman" w:hAnsi="Times New Roman" w:cs="Times New Roman"/>
        <w:sz w:val="24"/>
        <w:szCs w:val="24"/>
      </w:rPr>
      <w:t>COVID-19 PERIODIC REPORT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10721785"/>
      <w:docPartObj>
        <w:docPartGallery w:val="Page Numbers (Top of Page)"/>
        <w:docPartUnique/>
      </w:docPartObj>
    </w:sdtPr>
    <w:sdtEndPr>
      <w:rPr>
        <w:noProof/>
      </w:rPr>
    </w:sdtEndPr>
    <w:sdtContent>
      <w:p w:rsidR="00D46A21" w:rsidRPr="00D46A21" w:rsidRDefault="00D46A21">
        <w:pPr>
          <w:pStyle w:val="Header"/>
          <w:jc w:val="right"/>
          <w:rPr>
            <w:rFonts w:ascii="Times New Roman" w:hAnsi="Times New Roman" w:cs="Times New Roman"/>
            <w:sz w:val="24"/>
            <w:szCs w:val="24"/>
          </w:rPr>
        </w:pPr>
        <w:r w:rsidRPr="00D46A21">
          <w:rPr>
            <w:rFonts w:ascii="Times New Roman" w:hAnsi="Times New Roman" w:cs="Times New Roman"/>
            <w:sz w:val="24"/>
            <w:szCs w:val="24"/>
          </w:rPr>
          <w:fldChar w:fldCharType="begin"/>
        </w:r>
        <w:r w:rsidRPr="00D46A21">
          <w:rPr>
            <w:rFonts w:ascii="Times New Roman" w:hAnsi="Times New Roman" w:cs="Times New Roman"/>
            <w:sz w:val="24"/>
            <w:szCs w:val="24"/>
          </w:rPr>
          <w:instrText xml:space="preserve"> PAGE   \* MERGEFORMAT </w:instrText>
        </w:r>
        <w:r w:rsidRPr="00D46A21">
          <w:rPr>
            <w:rFonts w:ascii="Times New Roman" w:hAnsi="Times New Roman" w:cs="Times New Roman"/>
            <w:sz w:val="24"/>
            <w:szCs w:val="24"/>
          </w:rPr>
          <w:fldChar w:fldCharType="separate"/>
        </w:r>
        <w:r>
          <w:rPr>
            <w:rFonts w:ascii="Times New Roman" w:hAnsi="Times New Roman" w:cs="Times New Roman"/>
            <w:noProof/>
            <w:sz w:val="24"/>
            <w:szCs w:val="24"/>
          </w:rPr>
          <w:t>1</w:t>
        </w:r>
        <w:r w:rsidRPr="00D46A21">
          <w:rPr>
            <w:rFonts w:ascii="Times New Roman" w:hAnsi="Times New Roman" w:cs="Times New Roman"/>
            <w:noProof/>
            <w:sz w:val="24"/>
            <w:szCs w:val="24"/>
          </w:rPr>
          <w:fldChar w:fldCharType="end"/>
        </w:r>
      </w:p>
    </w:sdtContent>
  </w:sdt>
  <w:p w:rsidR="00D46A21" w:rsidRPr="00D46A21" w:rsidRDefault="00D46A21">
    <w:pPr>
      <w:pStyle w:val="Header"/>
      <w:rPr>
        <w:rFonts w:ascii="Times New Roman" w:hAnsi="Times New Roman" w:cs="Times New Roman"/>
        <w:sz w:val="24"/>
        <w:szCs w:val="24"/>
      </w:rPr>
    </w:pPr>
    <w:r w:rsidRPr="00D46A21">
      <w:rPr>
        <w:rFonts w:ascii="Times New Roman" w:hAnsi="Times New Roman" w:cs="Times New Roman"/>
        <w:sz w:val="24"/>
        <w:szCs w:val="24"/>
      </w:rPr>
      <w:t>Running Head: COVID-19 PERIODIC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020"/>
    <w:rsid w:val="00095E5A"/>
    <w:rsid w:val="000F5D19"/>
    <w:rsid w:val="00102C3E"/>
    <w:rsid w:val="00136872"/>
    <w:rsid w:val="0015396E"/>
    <w:rsid w:val="00192C64"/>
    <w:rsid w:val="001F06E6"/>
    <w:rsid w:val="00416DAA"/>
    <w:rsid w:val="00470B52"/>
    <w:rsid w:val="004B2605"/>
    <w:rsid w:val="004F1297"/>
    <w:rsid w:val="006D5B62"/>
    <w:rsid w:val="00760020"/>
    <w:rsid w:val="008B2C41"/>
    <w:rsid w:val="00A92BA5"/>
    <w:rsid w:val="00B348DA"/>
    <w:rsid w:val="00B95C5D"/>
    <w:rsid w:val="00C119DA"/>
    <w:rsid w:val="00C3619C"/>
    <w:rsid w:val="00C978A9"/>
    <w:rsid w:val="00D46A21"/>
    <w:rsid w:val="00DE718E"/>
    <w:rsid w:val="00FF2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D39071-9DBB-4D3C-AE21-31CF0BE2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2C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2C41"/>
    <w:rPr>
      <w:color w:val="0563C1" w:themeColor="hyperlink"/>
      <w:u w:val="single"/>
    </w:rPr>
  </w:style>
  <w:style w:type="table" w:styleId="TableGrid">
    <w:name w:val="Table Grid"/>
    <w:basedOn w:val="TableNormal"/>
    <w:uiPriority w:val="39"/>
    <w:rsid w:val="00B95C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E718E"/>
    <w:rPr>
      <w:i/>
      <w:iCs/>
    </w:rPr>
  </w:style>
  <w:style w:type="paragraph" w:styleId="Header">
    <w:name w:val="header"/>
    <w:basedOn w:val="Normal"/>
    <w:link w:val="HeaderChar"/>
    <w:uiPriority w:val="99"/>
    <w:unhideWhenUsed/>
    <w:rsid w:val="00D46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A21"/>
  </w:style>
  <w:style w:type="paragraph" w:styleId="Footer">
    <w:name w:val="footer"/>
    <w:basedOn w:val="Normal"/>
    <w:link w:val="FooterChar"/>
    <w:uiPriority w:val="99"/>
    <w:unhideWhenUsed/>
    <w:rsid w:val="00D46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214631">
      <w:bodyDiv w:val="1"/>
      <w:marLeft w:val="0"/>
      <w:marRight w:val="0"/>
      <w:marTop w:val="0"/>
      <w:marBottom w:val="0"/>
      <w:divBdr>
        <w:top w:val="none" w:sz="0" w:space="0" w:color="auto"/>
        <w:left w:val="none" w:sz="0" w:space="0" w:color="auto"/>
        <w:bottom w:val="none" w:sz="0" w:space="0" w:color="auto"/>
        <w:right w:val="none" w:sz="0" w:space="0" w:color="auto"/>
      </w:divBdr>
    </w:div>
    <w:div w:id="1050037682">
      <w:bodyDiv w:val="1"/>
      <w:marLeft w:val="0"/>
      <w:marRight w:val="0"/>
      <w:marTop w:val="0"/>
      <w:marBottom w:val="0"/>
      <w:divBdr>
        <w:top w:val="none" w:sz="0" w:space="0" w:color="auto"/>
        <w:left w:val="none" w:sz="0" w:space="0" w:color="auto"/>
        <w:bottom w:val="none" w:sz="0" w:space="0" w:color="auto"/>
        <w:right w:val="none" w:sz="0" w:space="0" w:color="auto"/>
      </w:divBdr>
    </w:div>
    <w:div w:id="1247885309">
      <w:bodyDiv w:val="1"/>
      <w:marLeft w:val="0"/>
      <w:marRight w:val="0"/>
      <w:marTop w:val="0"/>
      <w:marBottom w:val="0"/>
      <w:divBdr>
        <w:top w:val="none" w:sz="0" w:space="0" w:color="auto"/>
        <w:left w:val="none" w:sz="0" w:space="0" w:color="auto"/>
        <w:bottom w:val="none" w:sz="0" w:space="0" w:color="auto"/>
        <w:right w:val="none" w:sz="0" w:space="0" w:color="auto"/>
      </w:divBdr>
    </w:div>
    <w:div w:id="1312322730">
      <w:bodyDiv w:val="1"/>
      <w:marLeft w:val="0"/>
      <w:marRight w:val="0"/>
      <w:marTop w:val="0"/>
      <w:marBottom w:val="0"/>
      <w:divBdr>
        <w:top w:val="none" w:sz="0" w:space="0" w:color="auto"/>
        <w:left w:val="none" w:sz="0" w:space="0" w:color="auto"/>
        <w:bottom w:val="none" w:sz="0" w:space="0" w:color="auto"/>
        <w:right w:val="none" w:sz="0" w:space="0" w:color="auto"/>
      </w:divBdr>
    </w:div>
    <w:div w:id="163672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rworldindata.org/coronavirus/country/kuwait?country=~KWT" TargetMode="External"/><Relationship Id="rId3" Type="http://schemas.openxmlformats.org/officeDocument/2006/relationships/webSettings" Target="webSettings.xml"/><Relationship Id="rId7" Type="http://schemas.openxmlformats.org/officeDocument/2006/relationships/hyperlink" Target="https://www.garda.com/crisis24/news-alerts/405571/kuwait-authorities-maintain-covid-19-restrictions-december-1-update-2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aware.com/covid-19-alert-kuwait-introduces-new-curfew-hours-beginning-july-28-amid-easing-restriction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2020-12-07T11:01:00Z</dcterms:created>
  <dcterms:modified xsi:type="dcterms:W3CDTF">2020-12-07T14:45:00Z</dcterms:modified>
</cp:coreProperties>
</file>